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ind w:left="4536" w:right="-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ind w:left="453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AF2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показателей независимой оценки качества образовательной деятельности</w:t>
      </w:r>
      <w:proofErr w:type="gramEnd"/>
      <w:r w:rsidRPr="00AF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</w:t>
      </w:r>
    </w:p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AF2DF8" w:rsidRPr="00AF2DF8" w:rsidRDefault="00AF2DF8" w:rsidP="00AF2DF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  <w:r w:rsidRPr="00AF2DF8">
        <w:rPr>
          <w:rFonts w:eastAsia="Times New Roman" w:cs="Calibri"/>
          <w:b/>
          <w:lang w:eastAsia="ru-RU"/>
        </w:rPr>
        <w:t xml:space="preserve">АНКЕТА   </w:t>
      </w:r>
      <w:r w:rsidRPr="000723F4">
        <w:rPr>
          <w:rFonts w:eastAsia="Times New Roman" w:cs="Calibri"/>
          <w:b/>
          <w:lang w:eastAsia="ru-RU"/>
        </w:rPr>
        <w:t>№</w:t>
      </w:r>
      <w:r w:rsidRPr="00AF2DF8">
        <w:rPr>
          <w:rFonts w:eastAsia="Times New Roman" w:cs="Calibri"/>
          <w:b/>
          <w:lang w:eastAsia="ru-RU"/>
        </w:rPr>
        <w:t xml:space="preserve"> </w:t>
      </w:r>
      <w:r w:rsidRPr="000723F4">
        <w:rPr>
          <w:rFonts w:eastAsia="Times New Roman" w:cs="Calibri"/>
          <w:b/>
          <w:lang w:eastAsia="ru-RU"/>
        </w:rPr>
        <w:t>1</w:t>
      </w:r>
    </w:p>
    <w:p w:rsidR="00AF2DF8" w:rsidRPr="000723F4" w:rsidRDefault="00AF2DF8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0723F4">
        <w:rPr>
          <w:rFonts w:asciiTheme="minorHAnsi" w:hAnsiTheme="minorHAnsi"/>
          <w:szCs w:val="22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AF2DF8" w:rsidRPr="000723F4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AF2DF8" w:rsidRDefault="00AF2DF8" w:rsidP="00AF2DF8">
      <w:pPr>
        <w:spacing w:after="0"/>
        <w:rPr>
          <w:rFonts w:cs="Times New Roman"/>
          <w:b/>
        </w:rPr>
      </w:pPr>
      <w:r w:rsidRPr="00AF2DF8">
        <w:rPr>
          <w:rFonts w:cs="Times New Roman"/>
          <w:b/>
        </w:rPr>
        <w:t>Укажите наименование учреждения:</w:t>
      </w: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0723F4" w:rsidRPr="00AF2DF8" w:rsidTr="00572126">
        <w:tc>
          <w:tcPr>
            <w:tcW w:w="9747" w:type="dxa"/>
          </w:tcPr>
          <w:p w:rsidR="00AF2DF8" w:rsidRPr="00AF2DF8" w:rsidRDefault="00AF2DF8" w:rsidP="00AF2DF8">
            <w:pPr>
              <w:rPr>
                <w:rFonts w:cs="Times New Roman"/>
                <w:b/>
              </w:rPr>
            </w:pPr>
          </w:p>
          <w:p w:rsidR="00AF2DF8" w:rsidRPr="00AF2DF8" w:rsidRDefault="00AF2DF8" w:rsidP="00AF2DF8">
            <w:pPr>
              <w:rPr>
                <w:rFonts w:cs="Times New Roman"/>
                <w:b/>
              </w:rPr>
            </w:pPr>
          </w:p>
          <w:p w:rsidR="00AF2DF8" w:rsidRPr="00AF2DF8" w:rsidRDefault="00AF2DF8" w:rsidP="00AF2DF8">
            <w:pPr>
              <w:rPr>
                <w:rFonts w:cs="Times New Roman"/>
                <w:b/>
              </w:rPr>
            </w:pPr>
          </w:p>
          <w:p w:rsidR="00AF2DF8" w:rsidRPr="00AF2DF8" w:rsidRDefault="00AF2DF8" w:rsidP="00AF2DF8">
            <w:pPr>
              <w:rPr>
                <w:rFonts w:cs="Times New Roman"/>
                <w:b/>
              </w:rPr>
            </w:pPr>
          </w:p>
          <w:p w:rsidR="00AF2DF8" w:rsidRPr="00AF2DF8" w:rsidRDefault="00AF2DF8" w:rsidP="00AF2DF8">
            <w:pPr>
              <w:rPr>
                <w:rFonts w:cs="Times New Roman"/>
                <w:b/>
              </w:rPr>
            </w:pP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4848C1">
      <w:pPr>
        <w:pStyle w:val="ConsPlusNormal"/>
        <w:jc w:val="both"/>
        <w:rPr>
          <w:rFonts w:asciiTheme="minorHAnsi" w:hAnsiTheme="minorHAnsi"/>
          <w:b/>
          <w:caps/>
          <w:szCs w:val="22"/>
        </w:rPr>
      </w:pPr>
      <w:r w:rsidRPr="00DE611F">
        <w:rPr>
          <w:rFonts w:asciiTheme="minorHAnsi" w:hAnsiTheme="minorHAnsi"/>
          <w:b/>
          <w:caps/>
          <w:szCs w:val="22"/>
        </w:rP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</w:p>
    <w:p w:rsidR="004848C1" w:rsidRPr="00DE611F" w:rsidRDefault="004848C1">
      <w:pPr>
        <w:pStyle w:val="ConsPlusNormal"/>
        <w:jc w:val="both"/>
        <w:outlineLvl w:val="1"/>
        <w:rPr>
          <w:rFonts w:asciiTheme="minorHAnsi" w:hAnsiTheme="minorHAnsi"/>
          <w:b/>
          <w:szCs w:val="22"/>
        </w:rPr>
      </w:pPr>
    </w:p>
    <w:p w:rsidR="00AF2DF8" w:rsidRPr="00DE611F" w:rsidRDefault="00AF2DF8">
      <w:pPr>
        <w:pStyle w:val="ConsPlusNormal"/>
        <w:jc w:val="both"/>
        <w:outlineLvl w:val="1"/>
        <w:rPr>
          <w:rFonts w:asciiTheme="minorHAnsi" w:hAnsiTheme="minorHAnsi"/>
          <w:b/>
          <w:szCs w:val="22"/>
        </w:rPr>
      </w:pPr>
      <w:r w:rsidRPr="00DE611F">
        <w:rPr>
          <w:rFonts w:asciiTheme="minorHAnsi" w:hAnsiTheme="minorHAnsi"/>
          <w:b/>
          <w:szCs w:val="22"/>
        </w:rP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один или несколько пунктов (при необходимости):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деятельности организации;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структуре организации и органах ее управления;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документов об организации;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реализуемых образовательных программах;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финансово-хозяйственной деятельности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организации;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материально-техническом оснащении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образовательного процесса в организации;</w:t>
            </w:r>
          </w:p>
        </w:tc>
      </w:tr>
      <w:tr w:rsidR="00F65C98" w:rsidRPr="00DE611F" w:rsidTr="00BA1938">
        <w:trPr>
          <w:trHeight w:val="20"/>
        </w:trPr>
        <w:tc>
          <w:tcPr>
            <w:tcW w:w="709" w:type="dxa"/>
          </w:tcPr>
          <w:p w:rsidR="00F65C98" w:rsidRDefault="00F65C98" w:rsidP="00F65C98">
            <w:pPr>
              <w:spacing w:after="0" w:line="240" w:lineRule="auto"/>
            </w:pPr>
            <w:r w:rsidRPr="00BE3809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F65C98" w:rsidRPr="00DE611F" w:rsidRDefault="00F65C98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порядке приема в образовательную организацию,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обучения, отчисления, предоставления платных образовательных услуг.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outlineLvl w:val="1"/>
        <w:rPr>
          <w:rFonts w:asciiTheme="minorHAnsi" w:hAnsiTheme="minorHAnsi"/>
          <w:b/>
          <w:szCs w:val="22"/>
        </w:rPr>
      </w:pPr>
      <w:r w:rsidRPr="00DE611F">
        <w:rPr>
          <w:rFonts w:asciiTheme="minorHAnsi" w:hAnsiTheme="minorHAnsi"/>
          <w:b/>
          <w:szCs w:val="22"/>
        </w:rPr>
        <w:t>1.2. Наличие на официальном сайте организации в сети Интернет сведений о педагогических работниках организации.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lastRenderedPageBreak/>
        <w:t>Отметьте один или несколько пунктов (при необходимости):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руководителе 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контактных данных руководства организации: телефон,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электронная почта (далее - контактные данные);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заместител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е(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>-</w:t>
            </w:r>
            <w:proofErr w:type="spellStart"/>
            <w:r w:rsidRPr="00DE611F">
              <w:rPr>
                <w:rFonts w:asciiTheme="minorHAnsi" w:hAnsiTheme="minorHAnsi"/>
                <w:szCs w:val="22"/>
              </w:rPr>
              <w:t>ях</w:t>
            </w:r>
            <w:proofErr w:type="spellEnd"/>
            <w:r w:rsidRPr="00DE611F">
              <w:rPr>
                <w:rFonts w:asciiTheme="minorHAnsi" w:hAnsiTheme="minorHAnsi"/>
                <w:szCs w:val="22"/>
              </w:rPr>
              <w:t>) руководителя 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контактных данных заместителей руководителя 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перечня педагогического (научно-педагогического) состава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ФИО, должности, контактных данных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педагогических работников организации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об уровне образования педагогических работников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сведений о квалификации, ученом звании и степени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(при наличии) педагогических работников организации;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сведений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преподаваемых педагогическим работником</w:t>
            </w:r>
          </w:p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организации дисциплинах;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6156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Наименование направления подготовки и (или) специальности.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outlineLvl w:val="1"/>
        <w:rPr>
          <w:rFonts w:asciiTheme="minorHAnsi" w:hAnsiTheme="minorHAnsi"/>
          <w:b/>
          <w:szCs w:val="22"/>
        </w:rPr>
      </w:pPr>
      <w:r w:rsidRPr="00DE611F">
        <w:rPr>
          <w:rFonts w:asciiTheme="minorHAnsi" w:hAnsiTheme="minorHAnsi"/>
          <w:b/>
          <w:szCs w:val="22"/>
        </w:rP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один или несколько пунктов (при необходимости):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02130B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возможности взаимодействия участников образовательного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 xml:space="preserve">процесса с организацией; </w:t>
            </w:r>
          </w:p>
          <w:p w:rsidR="00E67105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</w:p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в том числе: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02130B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по телефону (наличие контактных телефонов, указание времени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возможного взаимодействия);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02130B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по электронной почте (наличие одного или нескольких электронных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адресов);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02130B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с помощью электронных сервисов (электронная форма для обращений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участников образовательного процесса);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02130B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возможности внесения предложений (электронная форма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DE611F">
              <w:rPr>
                <w:rFonts w:asciiTheme="minorHAnsi" w:hAnsiTheme="minorHAnsi"/>
                <w:szCs w:val="22"/>
              </w:rPr>
              <w:t>on-line</w:t>
            </w:r>
            <w:proofErr w:type="spellEnd"/>
            <w:r w:rsidRPr="00DE611F">
              <w:rPr>
                <w:rFonts w:asciiTheme="minorHAnsi" w:hAnsiTheme="minorHAnsi"/>
                <w:szCs w:val="22"/>
              </w:rPr>
              <w:t xml:space="preserve"> взаимодействия с руководителями и педагогическими работниками образовательной организации).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outlineLvl w:val="1"/>
        <w:rPr>
          <w:rFonts w:asciiTheme="minorHAnsi" w:hAnsiTheme="minorHAnsi"/>
          <w:b/>
          <w:szCs w:val="22"/>
        </w:rPr>
      </w:pPr>
      <w:r w:rsidRPr="00DE611F">
        <w:rPr>
          <w:rFonts w:asciiTheme="minorHAnsi" w:hAnsiTheme="minorHAnsi"/>
          <w:b/>
          <w:szCs w:val="22"/>
        </w:rPr>
        <w:t xml:space="preserve">1.4. Доступность сведений о ходе рассмотрения обращений, поступивших в организацию от </w:t>
      </w:r>
      <w:r w:rsidRPr="00DE611F">
        <w:rPr>
          <w:rFonts w:asciiTheme="minorHAnsi" w:hAnsiTheme="minorHAnsi"/>
          <w:b/>
          <w:szCs w:val="22"/>
        </w:rPr>
        <w:lastRenderedPageBreak/>
        <w:t>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один или несколько пунктов (при необходимости):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52B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возможности поиска и получения сведений по реквизитам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обращения о ходе его рассмотрения;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52B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ранжированной информации об обращениях граждан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(жалобы, предложения, вопросы, иное и т.д.);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52B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информации о результатах рассмотрения обращений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B952B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возможности отслеживания хода рассмотрения обращений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граждан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(например, статус обращения, наличие специалистов по взаимодействию с гражданами).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outlineLvl w:val="1"/>
        <w:rPr>
          <w:rFonts w:asciiTheme="minorHAnsi" w:hAnsiTheme="minorHAnsi"/>
          <w:b/>
          <w:caps/>
          <w:szCs w:val="22"/>
        </w:rPr>
      </w:pPr>
      <w:r w:rsidRPr="00DE611F">
        <w:rPr>
          <w:rFonts w:asciiTheme="minorHAnsi" w:hAnsiTheme="minorHAnsi"/>
          <w:b/>
          <w:caps/>
          <w:szCs w:val="22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DE611F">
        <w:rPr>
          <w:rFonts w:asciiTheme="minorHAnsi" w:hAnsiTheme="minorHAnsi"/>
          <w:b/>
          <w:szCs w:val="22"/>
        </w:rP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DE611F">
        <w:rPr>
          <w:rFonts w:asciiTheme="minorHAnsi" w:hAnsiTheme="minorHAnsi"/>
          <w:b/>
          <w:szCs w:val="22"/>
        </w:rPr>
        <w:t>самообследования</w:t>
      </w:r>
      <w:proofErr w:type="spellEnd"/>
      <w:r w:rsidRPr="00DE611F">
        <w:rPr>
          <w:rFonts w:asciiTheme="minorHAnsi" w:hAnsiTheme="minorHAnsi"/>
          <w:b/>
          <w:szCs w:val="22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="004848C1" w:rsidRPr="00DE611F">
        <w:rPr>
          <w:rStyle w:val="a6"/>
          <w:rFonts w:asciiTheme="minorHAnsi" w:hAnsiTheme="minorHAnsi"/>
          <w:b/>
          <w:szCs w:val="22"/>
        </w:rPr>
        <w:footnoteReference w:id="1"/>
      </w:r>
      <w:r w:rsidRPr="00DE611F">
        <w:rPr>
          <w:rFonts w:asciiTheme="minorHAnsi" w:hAnsiTheme="minorHAnsi"/>
          <w:b/>
          <w:szCs w:val="22"/>
        </w:rPr>
        <w:t xml:space="preserve"> (в сопоставимых показателях).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0723F4">
        <w:rPr>
          <w:rFonts w:asciiTheme="minorHAnsi" w:hAnsiTheme="minorHAnsi"/>
          <w:i/>
          <w:color w:val="0000FF"/>
          <w:szCs w:val="22"/>
        </w:rPr>
        <w:t>средней</w:t>
      </w:r>
      <w:proofErr w:type="gramEnd"/>
      <w:r w:rsidRPr="000723F4">
        <w:rPr>
          <w:rFonts w:asciiTheme="minorHAnsi" w:hAnsiTheme="minorHAnsi"/>
          <w:i/>
          <w:color w:val="0000FF"/>
          <w:szCs w:val="22"/>
        </w:rPr>
        <w:t xml:space="preserve"> по городу (региону):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50C8D">
              <w:rPr>
                <w:sz w:val="40"/>
              </w:rPr>
              <w:t>□</w:t>
            </w:r>
          </w:p>
        </w:tc>
        <w:tc>
          <w:tcPr>
            <w:tcW w:w="9072" w:type="dxa"/>
          </w:tcPr>
          <w:p w:rsidR="00E67105" w:rsidRPr="00DE611F" w:rsidRDefault="00E67105" w:rsidP="008B775E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учащихся компьютерами (количество компьютеров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в расчете на одного учащегося);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50C8D">
              <w:rPr>
                <w:sz w:val="40"/>
              </w:rPr>
              <w:t>□</w:t>
            </w:r>
          </w:p>
        </w:tc>
        <w:tc>
          <w:tcPr>
            <w:tcW w:w="9072" w:type="dxa"/>
          </w:tcPr>
          <w:p w:rsidR="00E67105" w:rsidRPr="00DE611F" w:rsidRDefault="00E67105" w:rsidP="008B775E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учителей (преподавателей) (количество компьютеров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в расчете на одного учителя);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50C8D">
              <w:rPr>
                <w:sz w:val="40"/>
              </w:rPr>
              <w:t>□</w:t>
            </w:r>
          </w:p>
        </w:tc>
        <w:tc>
          <w:tcPr>
            <w:tcW w:w="9072" w:type="dxa"/>
          </w:tcPr>
          <w:p w:rsidR="00E67105" w:rsidRPr="00DE611F" w:rsidRDefault="00E67105" w:rsidP="008B775E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ОО мультимедийными проекторами (количество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мультимедийных проекторов на учебный коллектив);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50C8D">
              <w:rPr>
                <w:sz w:val="40"/>
              </w:rPr>
              <w:t>□</w:t>
            </w:r>
          </w:p>
        </w:tc>
        <w:tc>
          <w:tcPr>
            <w:tcW w:w="9072" w:type="dxa"/>
          </w:tcPr>
          <w:p w:rsidR="00E67105" w:rsidRPr="00DE611F" w:rsidRDefault="00E67105" w:rsidP="008B775E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ОО интерактивными досками и приставками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(количество интерактивных досок и приставок).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лабораторий и/или мастерских (объекты для проведения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практических занятий)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современной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библиотеки-</w:t>
            </w:r>
            <w:proofErr w:type="spellStart"/>
            <w:r w:rsidRPr="00DE611F">
              <w:rPr>
                <w:rFonts w:asciiTheme="minorHAnsi" w:hAnsiTheme="minorHAnsi"/>
                <w:szCs w:val="22"/>
              </w:rPr>
              <w:t>медиатеки</w:t>
            </w:r>
            <w:proofErr w:type="spellEnd"/>
            <w:r w:rsidRPr="00DE611F">
              <w:rPr>
                <w:rFonts w:asciiTheme="minorHAnsi" w:hAnsiTheme="minorHAnsi"/>
                <w:szCs w:val="22"/>
              </w:rPr>
              <w:t xml:space="preserve"> (читальный зал не менее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специализированными кабинетами (библиотеки,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lastRenderedPageBreak/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электронных интерактивных лабораторий;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Обеспеченность лабораторным и демонстрационным оборудованием;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8539F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электронных учебников и учебных пособий (электронные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bookmarkStart w:id="0" w:name="_GoBack"/>
      <w:r w:rsidRPr="000723F4">
        <w:rPr>
          <w:rFonts w:asciiTheme="minorHAnsi" w:hAnsiTheme="minorHAnsi"/>
          <w:b/>
          <w:szCs w:val="22"/>
        </w:rPr>
        <w:t>2.2. Наличие необходимых условий для охраны и укрепления здоровья, организации питания обучающихся.</w:t>
      </w:r>
    </w:p>
    <w:bookmarkEnd w:id="0"/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спортивного зала;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оборудованной спортивной площадки (стадиона);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тренажерного зала;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бассейна;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медицинского кабинета;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специализированных кабинетов по охране и укреплению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здоровья (комнаты релаксации, психологической разгрузки и пр.);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51539D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столовой на территории организации.</w:t>
            </w:r>
          </w:p>
        </w:tc>
      </w:tr>
    </w:tbl>
    <w:p w:rsidR="00AF2DF8" w:rsidRPr="000723F4" w:rsidRDefault="00AF2DF8">
      <w:pPr>
        <w:pStyle w:val="ConsPlusNormal"/>
        <w:jc w:val="both"/>
        <w:rPr>
          <w:rFonts w:asciiTheme="minorHAnsi" w:hAnsiTheme="minorHAnsi"/>
          <w:b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0723F4">
        <w:rPr>
          <w:rFonts w:asciiTheme="minorHAnsi" w:hAnsiTheme="minorHAnsi"/>
          <w:b/>
          <w:szCs w:val="22"/>
        </w:rPr>
        <w:t xml:space="preserve">2.3. Условия для индивидуальной работы с </w:t>
      </w:r>
      <w:proofErr w:type="gramStart"/>
      <w:r w:rsidRPr="000723F4">
        <w:rPr>
          <w:rFonts w:asciiTheme="minorHAnsi" w:hAnsiTheme="minorHAnsi"/>
          <w:b/>
          <w:szCs w:val="22"/>
        </w:rPr>
        <w:t>обучающимися</w:t>
      </w:r>
      <w:proofErr w:type="gramEnd"/>
      <w:r w:rsidRPr="000723F4">
        <w:rPr>
          <w:rFonts w:asciiTheme="minorHAnsi" w:hAnsiTheme="minorHAnsi"/>
          <w:b/>
          <w:szCs w:val="22"/>
        </w:rPr>
        <w:t>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C2075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кружков, спортивных секций, творческих коллективов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C2075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Использование дистанционных образовательных технологий;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C2075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Проведение психологических и социологических исследований,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опросов;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C20759">
              <w:rPr>
                <w:sz w:val="40"/>
              </w:rPr>
              <w:t>□</w:t>
            </w:r>
          </w:p>
        </w:tc>
        <w:tc>
          <w:tcPr>
            <w:tcW w:w="9072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DE611F">
              <w:rPr>
                <w:rFonts w:asciiTheme="minorHAnsi" w:hAnsiTheme="minorHAnsi"/>
                <w:szCs w:val="22"/>
              </w:rPr>
              <w:t>Наличие службы психологической помощи (возможность оказания</w:t>
            </w:r>
            <w:proofErr w:type="gramEnd"/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психологической консультации).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0723F4">
        <w:rPr>
          <w:rFonts w:asciiTheme="minorHAnsi" w:hAnsiTheme="minorHAnsi"/>
          <w:b/>
          <w:szCs w:val="22"/>
        </w:rPr>
        <w:t>2.4. Наличие дополнительных образовательных программ.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lastRenderedPageBreak/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программ социально-педагогической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программ технической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программ физкультурно-спортивной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программ художественной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программ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естественно-научной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программ туристско-краеведческой направленности;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6233AC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дополнительных (авторских) образовательных программ.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0723F4">
        <w:rPr>
          <w:rFonts w:asciiTheme="minorHAnsi" w:hAnsiTheme="minorHAnsi"/>
          <w:b/>
          <w:szCs w:val="22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67105" w:rsidRPr="00DE611F" w:rsidTr="00BA1938">
        <w:trPr>
          <w:trHeight w:val="806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и полнота информации о конкурсах и олимпиадах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в отчетном году (в том числе во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всероссийских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и международных), проводимых при участии организации;</w:t>
            </w:r>
          </w:p>
        </w:tc>
      </w:tr>
      <w:tr w:rsidR="00E67105" w:rsidRPr="00DE611F" w:rsidTr="00BA1938">
        <w:trPr>
          <w:trHeight w:val="806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Удельный вес численности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обучающихся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>, принявших участие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E67105" w:rsidRPr="00DE611F" w:rsidTr="00BA1938">
        <w:trPr>
          <w:trHeight w:val="806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в отчетном году, из числа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обучающихся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в образовательной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E67105" w:rsidRPr="00DE611F" w:rsidTr="00BA1938">
        <w:trPr>
          <w:trHeight w:val="1074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Удельный вес численности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обучающихся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в образовательной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E67105" w:rsidRPr="00DE611F" w:rsidTr="00BA1938">
        <w:trPr>
          <w:trHeight w:val="806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в отчетном году победителей спортивных олимпиад</w:t>
            </w:r>
          </w:p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E67105" w:rsidRPr="00DE611F" w:rsidTr="00BA1938"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3549DE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E67105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Проведение мероприятий по сдаче норм ГТО.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0723F4">
        <w:rPr>
          <w:rFonts w:asciiTheme="minorHAnsi" w:hAnsiTheme="minorHAnsi"/>
          <w:b/>
          <w:szCs w:val="22"/>
        </w:rPr>
        <w:t xml:space="preserve">2.6. Наличие возможности оказания </w:t>
      </w:r>
      <w:proofErr w:type="gramStart"/>
      <w:r w:rsidRPr="000723F4">
        <w:rPr>
          <w:rFonts w:asciiTheme="minorHAnsi" w:hAnsiTheme="minorHAnsi"/>
          <w:b/>
          <w:szCs w:val="22"/>
        </w:rPr>
        <w:t>обучающимся</w:t>
      </w:r>
      <w:proofErr w:type="gramEnd"/>
      <w:r w:rsidRPr="000723F4">
        <w:rPr>
          <w:rFonts w:asciiTheme="minorHAnsi" w:hAnsiTheme="minorHAnsi"/>
          <w:b/>
          <w:szCs w:val="22"/>
        </w:rPr>
        <w:t xml:space="preserve"> психолого-педагогической, медицинской и социальной помощи.</w:t>
      </w:r>
    </w:p>
    <w:p w:rsidR="00AF2DF8" w:rsidRPr="000723F4" w:rsidRDefault="00AF2DF8">
      <w:pPr>
        <w:pStyle w:val="ConsPlusNormal"/>
        <w:jc w:val="both"/>
        <w:rPr>
          <w:rFonts w:asciiTheme="minorHAnsi" w:hAnsiTheme="minorHAnsi"/>
          <w:b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lastRenderedPageBreak/>
        <w:t>Отметьте пункты, по которым в образовательных организациях имеются соответствующие позиции: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E73B03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психолого-педагогического консультирования обучающихся,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E73B03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коррекционно-развивающих и компенсирующих занятий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 xml:space="preserve">с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обучающимися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>, логопедической помощи обучающимся;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E73B03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Наличие комплекса реабилитационных и других медицинских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мероприятий;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E73B03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действующих программ оказания помощи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обучающимся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outlineLvl w:val="2"/>
        <w:rPr>
          <w:rFonts w:asciiTheme="minorHAnsi" w:hAnsiTheme="minorHAnsi"/>
          <w:b/>
          <w:szCs w:val="22"/>
        </w:rPr>
      </w:pPr>
      <w:r w:rsidRPr="000723F4">
        <w:rPr>
          <w:rFonts w:asciiTheme="minorHAnsi" w:hAnsiTheme="minorHAnsi"/>
          <w:b/>
          <w:szCs w:val="22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0723F4" w:rsidRDefault="00AF2DF8">
      <w:pPr>
        <w:pStyle w:val="ConsPlusNormal"/>
        <w:jc w:val="both"/>
        <w:rPr>
          <w:rFonts w:asciiTheme="minorHAnsi" w:hAnsiTheme="minorHAnsi"/>
          <w:i/>
          <w:color w:val="0000FF"/>
          <w:szCs w:val="22"/>
        </w:rPr>
      </w:pPr>
      <w:r w:rsidRPr="000723F4">
        <w:rPr>
          <w:rFonts w:asciiTheme="minorHAnsi" w:hAnsiTheme="minorHAnsi"/>
          <w:i/>
          <w:color w:val="0000FF"/>
          <w:szCs w:val="22"/>
        </w:rPr>
        <w:t>Отметьте пункты, по которым в образовательных организациях имеются соответствующие позиции: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Наличие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обучающихся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с ограниченными возможностями здоровья;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Использование специальных учебников, учебных пособий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и дидактических материалов;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Использование специальных технических средств обучения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коллективного и индивидуального пользования;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 xml:space="preserve">Предоставление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обучающимся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с ограниченными возможностями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Предоставление услуг ассистента (помощника), оказывающего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обучающимся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необходимую техническую помощь;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Проведение групповых и индивидуальных коррекционных занятий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 w:rsidRPr="00DE611F">
              <w:rPr>
                <w:rFonts w:asciiTheme="minorHAnsi" w:hAnsiTheme="minorHAnsi"/>
                <w:szCs w:val="22"/>
              </w:rPr>
              <w:t>Обеспечение доступа в здания организаций, осуществляющих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DE611F">
              <w:rPr>
                <w:rFonts w:asciiTheme="minorHAnsi" w:hAnsiTheme="minorHAnsi"/>
                <w:szCs w:val="22"/>
              </w:rP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E67105" w:rsidRPr="00DE611F" w:rsidTr="00BA1938">
        <w:trPr>
          <w:trHeight w:val="20"/>
        </w:trPr>
        <w:tc>
          <w:tcPr>
            <w:tcW w:w="709" w:type="dxa"/>
          </w:tcPr>
          <w:p w:rsidR="00E67105" w:rsidRDefault="00E67105" w:rsidP="00E67105">
            <w:pPr>
              <w:spacing w:after="0" w:line="240" w:lineRule="auto"/>
            </w:pPr>
            <w:r w:rsidRPr="007116AA">
              <w:rPr>
                <w:sz w:val="40"/>
              </w:rPr>
              <w:t>□</w:t>
            </w:r>
          </w:p>
        </w:tc>
        <w:tc>
          <w:tcPr>
            <w:tcW w:w="8930" w:type="dxa"/>
            <w:vAlign w:val="center"/>
          </w:tcPr>
          <w:p w:rsidR="00E67105" w:rsidRPr="00DE611F" w:rsidRDefault="00E67105" w:rsidP="00BA1938">
            <w:pPr>
              <w:pStyle w:val="ConsPlusNormal"/>
              <w:ind w:left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О</w:t>
            </w:r>
            <w:r w:rsidRPr="00DE611F">
              <w:rPr>
                <w:rFonts w:asciiTheme="minorHAnsi" w:hAnsiTheme="minorHAnsi"/>
                <w:szCs w:val="22"/>
              </w:rPr>
              <w:t>казание психологической и другой консультативной помощи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Pr="00DE611F">
              <w:rPr>
                <w:rFonts w:asciiTheme="minorHAnsi" w:hAnsiTheme="minorHAnsi"/>
                <w:szCs w:val="22"/>
              </w:rPr>
              <w:t>обучающимся</w:t>
            </w:r>
            <w:proofErr w:type="gramEnd"/>
            <w:r w:rsidRPr="00DE611F">
              <w:rPr>
                <w:rFonts w:asciiTheme="minorHAnsi" w:hAnsiTheme="minorHAnsi"/>
                <w:szCs w:val="22"/>
              </w:rPr>
              <w:t xml:space="preserve"> с ограниченными возможностями здоровья.</w:t>
            </w:r>
          </w:p>
        </w:tc>
      </w:tr>
    </w:tbl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AF2DF8">
      <w:pPr>
        <w:pStyle w:val="ConsPlusNormal"/>
        <w:jc w:val="both"/>
        <w:rPr>
          <w:rFonts w:asciiTheme="minorHAnsi" w:hAnsiTheme="minorHAnsi"/>
          <w:szCs w:val="22"/>
        </w:rPr>
      </w:pPr>
    </w:p>
    <w:p w:rsidR="00AF2DF8" w:rsidRPr="00DE611F" w:rsidRDefault="00BA1938" w:rsidP="00BA1938">
      <w:pPr>
        <w:pStyle w:val="ConsPlusNormal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</w:t>
      </w:r>
    </w:p>
    <w:sectPr w:rsidR="00AF2DF8" w:rsidRPr="00DE611F" w:rsidSect="00AF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97" w:rsidRDefault="00AC1D97" w:rsidP="004848C1">
      <w:pPr>
        <w:spacing w:after="0" w:line="240" w:lineRule="auto"/>
      </w:pPr>
      <w:r>
        <w:separator/>
      </w:r>
    </w:p>
  </w:endnote>
  <w:endnote w:type="continuationSeparator" w:id="0">
    <w:p w:rsidR="00AC1D97" w:rsidRDefault="00AC1D97" w:rsidP="004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97" w:rsidRDefault="00AC1D97" w:rsidP="004848C1">
      <w:pPr>
        <w:spacing w:after="0" w:line="240" w:lineRule="auto"/>
      </w:pPr>
      <w:r>
        <w:separator/>
      </w:r>
    </w:p>
  </w:footnote>
  <w:footnote w:type="continuationSeparator" w:id="0">
    <w:p w:rsidR="00AC1D97" w:rsidRDefault="00AC1D97" w:rsidP="004848C1">
      <w:pPr>
        <w:spacing w:after="0" w:line="240" w:lineRule="auto"/>
      </w:pPr>
      <w:r>
        <w:continuationSeparator/>
      </w:r>
    </w:p>
  </w:footnote>
  <w:footnote w:id="1">
    <w:p w:rsidR="004848C1" w:rsidRPr="004848C1" w:rsidRDefault="004848C1" w:rsidP="00005747">
      <w:pPr>
        <w:pStyle w:val="a4"/>
        <w:ind w:right="-568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4848C1">
        <w:rPr>
          <w:szCs w:val="22"/>
        </w:rPr>
        <w:t>Средние значения показателей по городу (региону) рассчитывается по итогам обработки информации по всем обследованным организациям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F8"/>
    <w:rsid w:val="00005747"/>
    <w:rsid w:val="000723F4"/>
    <w:rsid w:val="004376F6"/>
    <w:rsid w:val="004848C1"/>
    <w:rsid w:val="00542ECD"/>
    <w:rsid w:val="00682663"/>
    <w:rsid w:val="008B775E"/>
    <w:rsid w:val="00AC1D97"/>
    <w:rsid w:val="00AF2DF8"/>
    <w:rsid w:val="00BA1938"/>
    <w:rsid w:val="00DE611F"/>
    <w:rsid w:val="00E67105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F2D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848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48C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48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F2D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848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48C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4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Гапбаев Батраз Казбекович</dc:creator>
  <cp:lastModifiedBy>Гапбаев Батраз Казбекович</cp:lastModifiedBy>
  <cp:revision>2</cp:revision>
  <dcterms:created xsi:type="dcterms:W3CDTF">2017-01-31T14:52:00Z</dcterms:created>
  <dcterms:modified xsi:type="dcterms:W3CDTF">2017-01-31T14:52:00Z</dcterms:modified>
</cp:coreProperties>
</file>